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DA" w:rsidRPr="005870E5" w:rsidRDefault="00EE66DA" w:rsidP="00EE66DA">
      <w:pPr>
        <w:jc w:val="center"/>
        <w:rPr>
          <w:rFonts w:ascii="Scala-Regular" w:hAnsi="Scala-Regular"/>
          <w:b w:val="0"/>
          <w:bCs w:val="0"/>
          <w:sz w:val="23"/>
          <w:szCs w:val="23"/>
        </w:rPr>
      </w:pPr>
      <w:r w:rsidRPr="0087360B">
        <w:rPr>
          <w:noProof/>
        </w:rPr>
        <w:drawing>
          <wp:inline distT="0" distB="0" distL="0" distR="0" wp14:anchorId="65CFB4C6" wp14:editId="6C56FB00">
            <wp:extent cx="1771650" cy="885825"/>
            <wp:effectExtent l="0" t="0" r="0" b="9525"/>
            <wp:docPr id="1" name="Afbeelding 1" descr="D:\Users\s.van.den.brink\AppData\Local\Microsoft\Windows\INetCacheContent.Word\RinoGroepLogo_DEF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.van.den.brink\AppData\Local\Microsoft\Windows\INetCacheContent.Word\RinoGroepLogo_DEF_kle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DA" w:rsidRPr="005870E5" w:rsidRDefault="00EE66DA" w:rsidP="00EE66DA">
      <w:pPr>
        <w:pBdr>
          <w:bottom w:val="single" w:sz="6" w:space="1" w:color="auto"/>
        </w:pBdr>
        <w:jc w:val="center"/>
        <w:rPr>
          <w:rFonts w:ascii="Scala-Regular" w:hAnsi="Scala-Regular"/>
          <w:bCs w:val="0"/>
          <w:sz w:val="23"/>
          <w:szCs w:val="23"/>
        </w:rPr>
      </w:pPr>
    </w:p>
    <w:p w:rsidR="00EE66DA" w:rsidRPr="005870E5" w:rsidRDefault="00EE66DA" w:rsidP="00EE66DA">
      <w:pPr>
        <w:jc w:val="center"/>
        <w:rPr>
          <w:rFonts w:ascii="Scala-Regular" w:hAnsi="Scala-Regular"/>
          <w:bCs w:val="0"/>
          <w:sz w:val="23"/>
          <w:szCs w:val="23"/>
        </w:rPr>
      </w:pPr>
      <w:proofErr w:type="spellStart"/>
      <w:r w:rsidRPr="00EE66DA">
        <w:rPr>
          <w:rFonts w:ascii="Scala-Regular" w:hAnsi="Scala-Regular"/>
          <w:bCs w:val="0"/>
          <w:sz w:val="23"/>
          <w:szCs w:val="23"/>
        </w:rPr>
        <w:t>Trainingsdag</w:t>
      </w:r>
      <w:proofErr w:type="spellEnd"/>
      <w:r w:rsidRPr="00EE66DA">
        <w:rPr>
          <w:rFonts w:ascii="Scala-Regular" w:hAnsi="Scala-Regular"/>
          <w:bCs w:val="0"/>
          <w:sz w:val="23"/>
          <w:szCs w:val="23"/>
        </w:rPr>
        <w:t xml:space="preserve"> Basisprincipes SRH Rivierduinen</w:t>
      </w:r>
      <w:bookmarkStart w:id="0" w:name="_GoBack"/>
      <w:bookmarkEnd w:id="0"/>
    </w:p>
    <w:p w:rsidR="00EE66DA" w:rsidRPr="005870E5" w:rsidRDefault="00EE66DA" w:rsidP="00EE66DA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EE66DA" w:rsidRPr="00555529" w:rsidRDefault="00EE66DA" w:rsidP="00EE66DA">
      <w:pPr>
        <w:rPr>
          <w:rFonts w:ascii="Scala-Regular" w:hAnsi="Scala-Regular" w:cs="Times New Roman"/>
          <w:b w:val="0"/>
          <w:sz w:val="23"/>
          <w:szCs w:val="23"/>
        </w:rPr>
      </w:pPr>
      <w:r w:rsidRPr="00555529">
        <w:rPr>
          <w:rFonts w:ascii="Scala-Regular" w:hAnsi="Scala-Regular" w:cs="Times New Roman"/>
          <w:sz w:val="23"/>
          <w:szCs w:val="23"/>
        </w:rPr>
        <w:t>Doel</w:t>
      </w:r>
    </w:p>
    <w:p w:rsidR="00EE66DA" w:rsidRPr="007204FA" w:rsidRDefault="00EE66DA" w:rsidP="00EE66DA">
      <w:pPr>
        <w:pStyle w:val="Geenafstand"/>
        <w:rPr>
          <w:rFonts w:ascii="Scala-Regular" w:eastAsia="Times New Roman" w:hAnsi="Scala-Regular" w:cs="Arial"/>
          <w:sz w:val="23"/>
          <w:szCs w:val="23"/>
          <w:lang w:eastAsia="nl-NL"/>
        </w:rPr>
      </w:pPr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 xml:space="preserve">In deze </w:t>
      </w:r>
      <w:proofErr w:type="spellStart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>trainingsdag</w:t>
      </w:r>
      <w:proofErr w:type="spellEnd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 xml:space="preserve"> wordt kennisgemaakt met de integrale rehabilitatiebenadering als referentiekader voor </w:t>
      </w:r>
      <w:proofErr w:type="spellStart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>herstelondersteunende</w:t>
      </w:r>
      <w:proofErr w:type="spellEnd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 xml:space="preserve"> zorg en raakt men bekend met </w:t>
      </w:r>
      <w:proofErr w:type="spellStart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>met</w:t>
      </w:r>
      <w:proofErr w:type="spellEnd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 xml:space="preserve"> de uitgangspunten van </w:t>
      </w:r>
      <w:proofErr w:type="spellStart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>herstelondersteunende</w:t>
      </w:r>
      <w:proofErr w:type="spellEnd"/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 xml:space="preserve"> zorgverlening. Ook wordt kennis overgedragen van de resultaten van onderzoek naar herstelprocessen en herstelfactoren. En worden de begrippen ervaringsdeskundigheid en empowerment geïntroduceerd. </w:t>
      </w:r>
    </w:p>
    <w:p w:rsidR="00EE66DA" w:rsidRPr="007204FA" w:rsidRDefault="00EE66DA" w:rsidP="00EE66DA">
      <w:pPr>
        <w:pStyle w:val="Geenafstand"/>
        <w:rPr>
          <w:rFonts w:ascii="Scala-Regular" w:eastAsia="Times New Roman" w:hAnsi="Scala-Regular" w:cs="Arial"/>
          <w:sz w:val="23"/>
          <w:szCs w:val="23"/>
          <w:lang w:eastAsia="nl-NL"/>
        </w:rPr>
      </w:pPr>
      <w:r w:rsidRPr="007204FA">
        <w:rPr>
          <w:rFonts w:ascii="Scala-Regular" w:eastAsia="Times New Roman" w:hAnsi="Scala-Regular" w:cs="Arial"/>
          <w:sz w:val="23"/>
          <w:szCs w:val="23"/>
          <w:lang w:eastAsia="nl-NL"/>
        </w:rPr>
        <w:t>Het accent hierbij ligt  op basisprincipes en visie. de dag wordt afwisselend opgebouwd: korte introducties en oefeningen en filmfragmenten met daarnaast de mogelijkheid om visies uit te wisselen.</w:t>
      </w:r>
    </w:p>
    <w:p w:rsidR="00EE66DA" w:rsidRPr="007204FA" w:rsidRDefault="00EE66DA" w:rsidP="00EE66DA">
      <w:pPr>
        <w:rPr>
          <w:rFonts w:ascii="Scala-Regular" w:hAnsi="Scala-Regular"/>
          <w:b w:val="0"/>
          <w:bCs w:val="0"/>
          <w:sz w:val="23"/>
          <w:szCs w:val="23"/>
        </w:rPr>
      </w:pPr>
    </w:p>
    <w:p w:rsidR="00EE66DA" w:rsidRPr="00555529" w:rsidRDefault="00EE66DA" w:rsidP="00EE66DA">
      <w:pPr>
        <w:rPr>
          <w:rFonts w:ascii="Scala-Regular" w:hAnsi="Scala-Regular" w:cs="Times New Roman"/>
          <w:b w:val="0"/>
          <w:sz w:val="23"/>
          <w:szCs w:val="23"/>
        </w:rPr>
      </w:pPr>
      <w:r w:rsidRPr="00555529">
        <w:rPr>
          <w:rFonts w:ascii="Scala-Regular" w:hAnsi="Scala-Regular" w:cs="Times New Roman"/>
          <w:sz w:val="23"/>
          <w:szCs w:val="23"/>
        </w:rPr>
        <w:t>Doelgroep</w:t>
      </w:r>
    </w:p>
    <w:p w:rsidR="00EE66DA" w:rsidRPr="00B71499" w:rsidRDefault="00EE66DA" w:rsidP="00EE66DA">
      <w:pPr>
        <w:rPr>
          <w:rFonts w:ascii="Scala-Regular" w:hAnsi="Scala-Regular" w:cs="Times New Roman"/>
          <w:b w:val="0"/>
          <w:sz w:val="23"/>
          <w:szCs w:val="23"/>
        </w:rPr>
      </w:pPr>
      <w:r w:rsidRPr="00B71499">
        <w:rPr>
          <w:rFonts w:ascii="Scala-Regular" w:hAnsi="Scala-Regular" w:cs="Times New Roman"/>
          <w:b w:val="0"/>
          <w:sz w:val="23"/>
          <w:szCs w:val="23"/>
        </w:rPr>
        <w:t>Zorgprofessionals en maatschappelijk werkers</w:t>
      </w:r>
      <w:r>
        <w:rPr>
          <w:rFonts w:ascii="Scala-Regular" w:hAnsi="Scala-Regular" w:cs="Times New Roman"/>
          <w:b w:val="0"/>
          <w:sz w:val="23"/>
          <w:szCs w:val="23"/>
        </w:rPr>
        <w:t xml:space="preserve">, </w:t>
      </w:r>
      <w:proofErr w:type="spellStart"/>
      <w:r>
        <w:rPr>
          <w:rFonts w:ascii="Scala-Regular" w:hAnsi="Scala-Regular" w:cs="Times New Roman"/>
          <w:b w:val="0"/>
          <w:sz w:val="23"/>
          <w:szCs w:val="23"/>
        </w:rPr>
        <w:t>sph’ers</w:t>
      </w:r>
      <w:proofErr w:type="spellEnd"/>
    </w:p>
    <w:p w:rsidR="00EE66DA" w:rsidRPr="00555529" w:rsidRDefault="00EE66DA" w:rsidP="00EE66DA">
      <w:pPr>
        <w:rPr>
          <w:rFonts w:ascii="Scala-Regular" w:hAnsi="Scala-Regular" w:cs="Times New Roman"/>
          <w:sz w:val="23"/>
          <w:szCs w:val="23"/>
        </w:rPr>
      </w:pPr>
    </w:p>
    <w:p w:rsidR="00EE66DA" w:rsidRPr="00555529" w:rsidRDefault="00EE66DA" w:rsidP="00EE66DA">
      <w:pPr>
        <w:rPr>
          <w:rFonts w:ascii="Scala-Regular" w:hAnsi="Scala-Regular" w:cs="Times New Roman"/>
          <w:b w:val="0"/>
          <w:sz w:val="23"/>
          <w:szCs w:val="23"/>
        </w:rPr>
      </w:pPr>
      <w:r w:rsidRPr="00555529">
        <w:rPr>
          <w:rFonts w:ascii="Scala-Regular" w:hAnsi="Scala-Regular" w:cs="Times New Roman"/>
          <w:sz w:val="23"/>
          <w:szCs w:val="23"/>
        </w:rPr>
        <w:t>Inhoud</w:t>
      </w:r>
    </w:p>
    <w:p w:rsidR="00EE66DA" w:rsidRPr="007204FA" w:rsidRDefault="00EE66DA" w:rsidP="00EE66DA">
      <w:pPr>
        <w:numPr>
          <w:ilvl w:val="0"/>
          <w:numId w:val="1"/>
        </w:numPr>
        <w:rPr>
          <w:rFonts w:ascii="Scala-Regular" w:hAnsi="Scala-Regular" w:cs="Times New Roman"/>
          <w:b w:val="0"/>
          <w:sz w:val="23"/>
          <w:szCs w:val="23"/>
        </w:rPr>
      </w:pPr>
      <w:r w:rsidRPr="007204FA">
        <w:rPr>
          <w:rFonts w:ascii="Scala-Regular" w:hAnsi="Scala-Regular" w:cs="Times New Roman"/>
          <w:b w:val="0"/>
          <w:sz w:val="23"/>
          <w:szCs w:val="23"/>
        </w:rPr>
        <w:t>Principes en uitgangspunten Systematisch Rehabilitatiegericht Handelen;</w:t>
      </w:r>
    </w:p>
    <w:p w:rsidR="00EE66DA" w:rsidRPr="007204FA" w:rsidRDefault="00EE66DA" w:rsidP="00EE66DA">
      <w:pPr>
        <w:numPr>
          <w:ilvl w:val="0"/>
          <w:numId w:val="1"/>
        </w:numPr>
        <w:rPr>
          <w:rFonts w:ascii="Scala-Regular" w:hAnsi="Scala-Regular" w:cs="Times New Roman"/>
          <w:b w:val="0"/>
          <w:sz w:val="23"/>
          <w:szCs w:val="23"/>
        </w:rPr>
      </w:pPr>
      <w:r w:rsidRPr="007204FA">
        <w:rPr>
          <w:rFonts w:ascii="Scala-Regular" w:hAnsi="Scala-Regular" w:cs="Times New Roman"/>
          <w:b w:val="0"/>
          <w:sz w:val="23"/>
          <w:szCs w:val="23"/>
        </w:rPr>
        <w:t>Krachtgericht werken en presentie (er zijn voor de ander);</w:t>
      </w:r>
    </w:p>
    <w:p w:rsidR="00EE66DA" w:rsidRPr="007204FA" w:rsidRDefault="00EE66DA" w:rsidP="00EE66DA">
      <w:pPr>
        <w:numPr>
          <w:ilvl w:val="0"/>
          <w:numId w:val="1"/>
        </w:numPr>
        <w:rPr>
          <w:rFonts w:ascii="Scala-Regular" w:hAnsi="Scala-Regular" w:cs="Times New Roman"/>
          <w:b w:val="0"/>
          <w:sz w:val="23"/>
          <w:szCs w:val="23"/>
        </w:rPr>
      </w:pPr>
      <w:r w:rsidRPr="007204FA">
        <w:rPr>
          <w:rFonts w:ascii="Scala-Regular" w:hAnsi="Scala-Regular" w:cs="Times New Roman"/>
          <w:b w:val="0"/>
          <w:sz w:val="23"/>
          <w:szCs w:val="23"/>
        </w:rPr>
        <w:t>Opbouw van samenwerkingsrelatie, basisprincipes van begeleiden;</w:t>
      </w:r>
    </w:p>
    <w:p w:rsidR="00EE66DA" w:rsidRPr="007204FA" w:rsidRDefault="00EE66DA" w:rsidP="00EE66DA">
      <w:pPr>
        <w:numPr>
          <w:ilvl w:val="0"/>
          <w:numId w:val="1"/>
        </w:numPr>
        <w:rPr>
          <w:rFonts w:ascii="Scala-Regular" w:hAnsi="Scala-Regular" w:cs="Times New Roman"/>
          <w:b w:val="0"/>
          <w:sz w:val="23"/>
          <w:szCs w:val="23"/>
        </w:rPr>
      </w:pPr>
      <w:r w:rsidRPr="007204FA">
        <w:rPr>
          <w:rFonts w:ascii="Scala-Regular" w:hAnsi="Scala-Regular" w:cs="Times New Roman"/>
          <w:b w:val="0"/>
          <w:sz w:val="23"/>
          <w:szCs w:val="23"/>
        </w:rPr>
        <w:t>Aansluiten bij (fase) herstelproces &gt; accent op stabilisatie, verwerking/heroriëntatie, re-integratie;</w:t>
      </w:r>
    </w:p>
    <w:p w:rsidR="00EE66DA" w:rsidRPr="007204FA" w:rsidRDefault="00EE66DA" w:rsidP="00EE66DA">
      <w:pPr>
        <w:numPr>
          <w:ilvl w:val="0"/>
          <w:numId w:val="1"/>
        </w:numPr>
        <w:rPr>
          <w:rFonts w:ascii="Scala-Regular" w:hAnsi="Scala-Regular" w:cs="Times New Roman"/>
          <w:b w:val="0"/>
          <w:sz w:val="23"/>
          <w:szCs w:val="23"/>
        </w:rPr>
      </w:pPr>
      <w:r w:rsidRPr="007204FA">
        <w:rPr>
          <w:rFonts w:ascii="Scala-Regular" w:hAnsi="Scala-Regular" w:cs="Times New Roman"/>
          <w:b w:val="0"/>
          <w:sz w:val="23"/>
          <w:szCs w:val="23"/>
        </w:rPr>
        <w:t>Ervaringsdeskundigheid en herstel</w:t>
      </w:r>
    </w:p>
    <w:p w:rsidR="00EE66DA" w:rsidRDefault="00EE66DA" w:rsidP="00EE66DA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EE66DA" w:rsidRPr="005870E5" w:rsidRDefault="00EE66DA" w:rsidP="00EE66DA">
      <w:pPr>
        <w:jc w:val="both"/>
        <w:rPr>
          <w:rFonts w:ascii="Scala-Regular" w:hAnsi="Scala-Regular"/>
          <w:bCs w:val="0"/>
          <w:sz w:val="23"/>
          <w:szCs w:val="23"/>
        </w:rPr>
      </w:pPr>
      <w:r w:rsidRPr="005870E5">
        <w:rPr>
          <w:rFonts w:ascii="Scala-Regular" w:hAnsi="Scala-Regular"/>
          <w:bCs w:val="0"/>
          <w:sz w:val="23"/>
          <w:szCs w:val="23"/>
        </w:rPr>
        <w:t>Docent</w:t>
      </w:r>
    </w:p>
    <w:p w:rsidR="00EE66DA" w:rsidRDefault="00EE66DA" w:rsidP="00EE66DA">
      <w:pPr>
        <w:rPr>
          <w:rFonts w:ascii="Scala-Regular" w:hAnsi="Scala-Regular"/>
          <w:b w:val="0"/>
          <w:bCs w:val="0"/>
          <w:sz w:val="23"/>
          <w:szCs w:val="23"/>
        </w:rPr>
      </w:pPr>
      <w:r w:rsidRPr="007204FA">
        <w:rPr>
          <w:rFonts w:ascii="Scala-Regular" w:hAnsi="Scala-Regular"/>
          <w:b w:val="0"/>
          <w:sz w:val="23"/>
          <w:szCs w:val="23"/>
          <w:lang w:val="fr-FR"/>
        </w:rPr>
        <w:t xml:space="preserve">Ellen Koelemij </w:t>
      </w:r>
      <w:r w:rsidRPr="007204FA">
        <w:rPr>
          <w:rFonts w:ascii="Scala-Regular" w:hAnsi="Scala-Regular"/>
          <w:b w:val="0"/>
          <w:bCs w:val="0"/>
          <w:sz w:val="23"/>
          <w:szCs w:val="23"/>
        </w:rPr>
        <w:t xml:space="preserve"> is kerndocent</w:t>
      </w:r>
      <w:r>
        <w:rPr>
          <w:rFonts w:ascii="Scala-Regular" w:hAnsi="Scala-Regular"/>
          <w:b w:val="0"/>
          <w:bCs w:val="0"/>
          <w:sz w:val="23"/>
          <w:szCs w:val="23"/>
        </w:rPr>
        <w:t xml:space="preserve"> SRH en </w:t>
      </w:r>
      <w:r w:rsidRPr="00B71499">
        <w:rPr>
          <w:rFonts w:ascii="Scala-Regular" w:hAnsi="Scala-Regular"/>
          <w:b w:val="0"/>
          <w:bCs w:val="0"/>
          <w:sz w:val="23"/>
          <w:szCs w:val="23"/>
        </w:rPr>
        <w:t>SRH</w:t>
      </w:r>
      <w:r>
        <w:rPr>
          <w:rFonts w:ascii="Scala-Regular" w:hAnsi="Scala-Regular"/>
          <w:b w:val="0"/>
          <w:bCs w:val="0"/>
          <w:sz w:val="23"/>
          <w:szCs w:val="23"/>
        </w:rPr>
        <w:t>/</w:t>
      </w:r>
      <w:proofErr w:type="spellStart"/>
      <w:r>
        <w:rPr>
          <w:rFonts w:ascii="Scala-Regular" w:hAnsi="Scala-Regular"/>
          <w:b w:val="0"/>
          <w:bCs w:val="0"/>
          <w:sz w:val="23"/>
          <w:szCs w:val="23"/>
        </w:rPr>
        <w:t>Strengths</w:t>
      </w:r>
      <w:proofErr w:type="spellEnd"/>
      <w:r>
        <w:rPr>
          <w:rFonts w:ascii="Scala-Regular" w:hAnsi="Scala-Regular"/>
          <w:b w:val="0"/>
          <w:bCs w:val="0"/>
          <w:sz w:val="23"/>
          <w:szCs w:val="23"/>
        </w:rPr>
        <w:t xml:space="preserve"> trainer en coach. Ze traint </w:t>
      </w:r>
      <w:r w:rsidRPr="00B71499">
        <w:rPr>
          <w:rFonts w:ascii="Scala-Regular" w:hAnsi="Scala-Regular"/>
          <w:b w:val="0"/>
          <w:bCs w:val="0"/>
          <w:sz w:val="23"/>
          <w:szCs w:val="23"/>
        </w:rPr>
        <w:t>teams in de geestelijke gezondheidszorg en maatschappelijke opvang.</w:t>
      </w:r>
    </w:p>
    <w:p w:rsidR="003E1262" w:rsidRDefault="003E1262"/>
    <w:sectPr w:rsidR="003E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D45"/>
    <w:multiLevelType w:val="hybridMultilevel"/>
    <w:tmpl w:val="1EE48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DA"/>
    <w:rsid w:val="003E1262"/>
    <w:rsid w:val="00E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1596-0373-4473-ACFB-057AC3A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E66D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66D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1</cp:revision>
  <dcterms:created xsi:type="dcterms:W3CDTF">2017-05-16T14:38:00Z</dcterms:created>
  <dcterms:modified xsi:type="dcterms:W3CDTF">2017-05-16T14:40:00Z</dcterms:modified>
</cp:coreProperties>
</file>